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9AE" w:rsidRDefault="00F509AE" w:rsidP="00873B99">
      <w:pPr>
        <w:jc w:val="center"/>
      </w:pPr>
      <w:r w:rsidRPr="006570C9">
        <w:rPr>
          <w:b/>
        </w:rPr>
        <w:t>OP 07-</w:t>
      </w:r>
      <w:r>
        <w:rPr>
          <w:b/>
        </w:rPr>
        <w:t>43</w:t>
      </w:r>
      <w:r w:rsidRPr="006570C9">
        <w:rPr>
          <w:b/>
        </w:rPr>
        <w:t xml:space="preserve"> – </w:t>
      </w:r>
      <w:r>
        <w:rPr>
          <w:b/>
        </w:rPr>
        <w:t>WORKSITE WELLNESS PROGRAM</w:t>
      </w:r>
      <w:r w:rsidR="00873097">
        <w:rPr>
          <w:b/>
        </w:rPr>
        <w:br/>
      </w:r>
    </w:p>
    <w:p w:rsidR="00F509AE" w:rsidRPr="004709CE" w:rsidRDefault="00F509AE" w:rsidP="00303E2B">
      <w:pPr>
        <w:pStyle w:val="Indent1"/>
        <w:jc w:val="left"/>
      </w:pPr>
      <w:r>
        <w:t>1.</w:t>
      </w:r>
      <w:r>
        <w:tab/>
      </w:r>
      <w:r w:rsidRPr="004709CE">
        <w:rPr>
          <w:u w:val="single"/>
        </w:rPr>
        <w:t>Purpose</w:t>
      </w:r>
      <w:r w:rsidRPr="004709CE">
        <w:t>.  Establish a Worksite Wellness Program to foster the adoption of a wellness culture in order to promote the benefits of improved health, reduced medical expenses, heightened personal performance, reduced absenteeism, and improved employee satisfaction</w:t>
      </w:r>
      <w:r w:rsidR="006C0914">
        <w:t xml:space="preserve"> in accordance with the provisions of the Texas Government Code, Section 664.061.</w:t>
      </w:r>
    </w:p>
    <w:p w:rsidR="00F509AE" w:rsidRPr="004709CE" w:rsidRDefault="00F509AE" w:rsidP="00303E2B">
      <w:pPr>
        <w:pStyle w:val="Indent1"/>
        <w:jc w:val="left"/>
      </w:pPr>
      <w:r w:rsidRPr="004709CE">
        <w:t>2.</w:t>
      </w:r>
      <w:r w:rsidRPr="004709CE">
        <w:tab/>
      </w:r>
      <w:r w:rsidRPr="004709CE">
        <w:rPr>
          <w:u w:val="single"/>
        </w:rPr>
        <w:t>Scope</w:t>
      </w:r>
      <w:r w:rsidRPr="004709CE">
        <w:t>.  This procedure applies to all employees of TEA.</w:t>
      </w:r>
    </w:p>
    <w:p w:rsidR="00F509AE" w:rsidRPr="004709CE" w:rsidRDefault="00F509AE" w:rsidP="00303E2B">
      <w:pPr>
        <w:pStyle w:val="Indent1"/>
        <w:jc w:val="left"/>
      </w:pPr>
      <w:r w:rsidRPr="004709CE">
        <w:t>3.</w:t>
      </w:r>
      <w:r w:rsidRPr="004709CE">
        <w:tab/>
      </w:r>
      <w:r w:rsidRPr="004709CE">
        <w:rPr>
          <w:u w:val="single"/>
        </w:rPr>
        <w:t>Responsibility</w:t>
      </w:r>
      <w:r w:rsidRPr="004709CE">
        <w:t xml:space="preserve">.  </w:t>
      </w:r>
      <w:r w:rsidR="00981813">
        <w:t xml:space="preserve">The Division of </w:t>
      </w:r>
      <w:r w:rsidR="00570F27">
        <w:t xml:space="preserve">Human Resources </w:t>
      </w:r>
      <w:r w:rsidRPr="004709CE">
        <w:t>is the office of primary responsibility (OPR) for this procedure.</w:t>
      </w:r>
    </w:p>
    <w:p w:rsidR="00F509AE" w:rsidRPr="004709CE" w:rsidRDefault="00F509AE" w:rsidP="00303E2B">
      <w:pPr>
        <w:pStyle w:val="Indent1"/>
        <w:jc w:val="left"/>
      </w:pPr>
      <w:r w:rsidRPr="004709CE">
        <w:t>4.</w:t>
      </w:r>
      <w:r w:rsidRPr="004709CE">
        <w:tab/>
      </w:r>
      <w:r w:rsidRPr="004709CE">
        <w:rPr>
          <w:u w:val="single"/>
        </w:rPr>
        <w:t>Nondiscrimination</w:t>
      </w:r>
      <w:r w:rsidRPr="004709CE">
        <w:t>.  TEA shall comply fully with the nondiscrimination provisions of all federal and state laws and regulations by assuring that no person shall be excluded from consideration for selection, appointment, training, promotion, retention, or any other covered personnel action, nor be denied any benefits or participation in any educational programs or activities which it operates, on the grounds of race, religion, color, national origin, sex, disability, age, or veteran status (except where age or sex constitutes a bona fide occupational qualification necessary for proper and efficient administration).</w:t>
      </w:r>
    </w:p>
    <w:p w:rsidR="00F31B0F" w:rsidRDefault="00F509AE" w:rsidP="00303E2B">
      <w:pPr>
        <w:pStyle w:val="Indent1"/>
        <w:jc w:val="left"/>
      </w:pPr>
      <w:r w:rsidRPr="004709CE">
        <w:t>5.</w:t>
      </w:r>
      <w:r w:rsidRPr="004709CE">
        <w:tab/>
      </w:r>
      <w:r w:rsidRPr="004709CE">
        <w:rPr>
          <w:u w:val="single"/>
        </w:rPr>
        <w:t>General</w:t>
      </w:r>
      <w:r w:rsidRPr="004709CE">
        <w:t xml:space="preserve">.  </w:t>
      </w:r>
      <w:r>
        <w:t xml:space="preserve">Pursuant to </w:t>
      </w:r>
      <w:r w:rsidR="00F20DE4">
        <w:t>Tex. Gov’t. Code section 664.061</w:t>
      </w:r>
      <w:r>
        <w:t>,</w:t>
      </w:r>
      <w:r w:rsidRPr="004709CE">
        <w:t xml:space="preserve"> </w:t>
      </w:r>
      <w:r w:rsidR="001802F0">
        <w:t>a worksite wellness program is hereby established, which, subject to the operational needs of the employee’s division, provides the following</w:t>
      </w:r>
      <w:r>
        <w:t>:</w:t>
      </w:r>
    </w:p>
    <w:p w:rsidR="00F31B0F" w:rsidRDefault="001802F0" w:rsidP="00303E2B">
      <w:pPr>
        <w:pStyle w:val="Indent3"/>
        <w:tabs>
          <w:tab w:val="clear" w:pos="2045"/>
          <w:tab w:val="left" w:pos="990"/>
        </w:tabs>
        <w:ind w:left="1440" w:hanging="450"/>
        <w:jc w:val="left"/>
      </w:pPr>
      <w:r>
        <w:t>a.</w:t>
      </w:r>
      <w:r w:rsidR="00F509AE">
        <w:tab/>
      </w:r>
      <w:r w:rsidR="00F509AE" w:rsidRPr="004709CE">
        <w:t>allow</w:t>
      </w:r>
      <w:r>
        <w:t>s</w:t>
      </w:r>
      <w:r w:rsidR="00F509AE" w:rsidRPr="004709CE">
        <w:t xml:space="preserve"> employee</w:t>
      </w:r>
      <w:r w:rsidR="008637C1">
        <w:t>s</w:t>
      </w:r>
      <w:r w:rsidR="00F509AE" w:rsidRPr="004709CE">
        <w:t xml:space="preserve"> 30 minutes during normal working hours for exercise three times each week; </w:t>
      </w:r>
    </w:p>
    <w:p w:rsidR="00F509AE" w:rsidRPr="004709CE" w:rsidRDefault="001802F0" w:rsidP="00303E2B">
      <w:pPr>
        <w:pStyle w:val="Indent3"/>
        <w:tabs>
          <w:tab w:val="clear" w:pos="2045"/>
          <w:tab w:val="left" w:pos="990"/>
        </w:tabs>
        <w:ind w:left="990" w:firstLine="0"/>
        <w:jc w:val="left"/>
      </w:pPr>
      <w:r>
        <w:t>b.</w:t>
      </w:r>
      <w:r>
        <w:tab/>
      </w:r>
      <w:r w:rsidR="00F509AE" w:rsidRPr="004709CE">
        <w:t>allow</w:t>
      </w:r>
      <w:r>
        <w:t>s</w:t>
      </w:r>
      <w:r w:rsidR="008637C1">
        <w:t xml:space="preserve"> </w:t>
      </w:r>
      <w:r w:rsidR="00F509AE" w:rsidRPr="004709CE">
        <w:t xml:space="preserve">employees to attend on-site wellness seminars when offered; and </w:t>
      </w:r>
    </w:p>
    <w:p w:rsidR="00F31B0F" w:rsidRDefault="001802F0" w:rsidP="00303E2B">
      <w:pPr>
        <w:pStyle w:val="Indent3"/>
        <w:tabs>
          <w:tab w:val="clear" w:pos="2045"/>
          <w:tab w:val="left" w:pos="990"/>
        </w:tabs>
        <w:ind w:left="1440" w:hanging="450"/>
        <w:jc w:val="left"/>
      </w:pPr>
      <w:r>
        <w:t>c.</w:t>
      </w:r>
      <w:r>
        <w:tab/>
      </w:r>
      <w:r w:rsidR="00F509AE">
        <w:t>award</w:t>
      </w:r>
      <w:r>
        <w:t>s</w:t>
      </w:r>
      <w:r w:rsidR="00F509AE" w:rsidRPr="004709CE">
        <w:t xml:space="preserve"> eight hours of additional leave time each year</w:t>
      </w:r>
      <w:r w:rsidR="00F509AE">
        <w:t xml:space="preserve"> to employees who</w:t>
      </w:r>
      <w:r w:rsidR="00F509AE" w:rsidRPr="004709CE">
        <w:t xml:space="preserve"> receive a physical examination and complete an online health risk</w:t>
      </w:r>
      <w:r w:rsidR="00F509AE">
        <w:t xml:space="preserve"> assessment (HRA) tool</w:t>
      </w:r>
      <w:r w:rsidR="00F509AE" w:rsidRPr="004709CE">
        <w:t>.</w:t>
      </w:r>
    </w:p>
    <w:p w:rsidR="00F509AE" w:rsidRDefault="00F509AE" w:rsidP="00303E2B">
      <w:pPr>
        <w:pStyle w:val="Indent1"/>
        <w:jc w:val="left"/>
      </w:pPr>
      <w:r w:rsidRPr="000C399D">
        <w:t>6.</w:t>
      </w:r>
      <w:r w:rsidRPr="000C399D">
        <w:tab/>
      </w:r>
      <w:r w:rsidRPr="00143E3A">
        <w:rPr>
          <w:u w:val="single"/>
        </w:rPr>
        <w:t>Eligibility</w:t>
      </w:r>
      <w:r w:rsidRPr="00143E3A">
        <w:t xml:space="preserve">. </w:t>
      </w:r>
      <w:r>
        <w:t xml:space="preserve"> </w:t>
      </w:r>
      <w:r w:rsidRPr="00143E3A">
        <w:t xml:space="preserve">TEA employees are eligible for voluntary participation in the Wellness Program. </w:t>
      </w:r>
      <w:r>
        <w:t xml:space="preserve"> </w:t>
      </w:r>
      <w:r w:rsidRPr="00143E3A">
        <w:t xml:space="preserve"> </w:t>
      </w:r>
      <w:r>
        <w:t xml:space="preserve"> </w:t>
      </w:r>
      <w:r w:rsidRPr="00143E3A">
        <w:t>All persons who intend to participate in a</w:t>
      </w:r>
      <w:r w:rsidR="001802F0">
        <w:t>n</w:t>
      </w:r>
      <w:r w:rsidRPr="00143E3A">
        <w:t xml:space="preserve"> </w:t>
      </w:r>
      <w:r w:rsidR="001802F0">
        <w:t xml:space="preserve">agency-sponsored </w:t>
      </w:r>
      <w:r w:rsidRPr="00143E3A">
        <w:t xml:space="preserve">Wellness Program activity involving physical exertion or exercise are encouraged to complete a </w:t>
      </w:r>
      <w:hyperlink r:id="rId7" w:history="1">
        <w:r w:rsidRPr="006264D8">
          <w:rPr>
            <w:rStyle w:val="Hyperlink"/>
          </w:rPr>
          <w:t>Physical Fitness Readiness Questionnaire</w:t>
        </w:r>
      </w:hyperlink>
      <w:r>
        <w:t xml:space="preserve"> provided by the Department of State Health Services (DSHS)</w:t>
      </w:r>
      <w:r w:rsidRPr="00143E3A">
        <w:t xml:space="preserve"> and consult with a physician before beginning physical activity as needed.</w:t>
      </w:r>
      <w:r>
        <w:t xml:space="preserve"> </w:t>
      </w:r>
      <w:r w:rsidRPr="00143E3A">
        <w:t xml:space="preserve"> </w:t>
      </w:r>
      <w:r w:rsidR="00FD070A">
        <w:br/>
      </w:r>
      <w:r w:rsidR="00FD070A">
        <w:br/>
      </w:r>
      <w:r w:rsidRPr="00143E3A">
        <w:t>The Questionnaire is retained by the employee, and will no</w:t>
      </w:r>
      <w:r>
        <w:t>t be reviewed or retained by TEA</w:t>
      </w:r>
      <w:r w:rsidRPr="00143E3A">
        <w:t xml:space="preserve">. </w:t>
      </w:r>
      <w:r>
        <w:t xml:space="preserve"> </w:t>
      </w:r>
      <w:r w:rsidR="00FD070A">
        <w:br/>
      </w:r>
      <w:r w:rsidR="00FD070A">
        <w:br/>
      </w:r>
      <w:r w:rsidRPr="00143E3A">
        <w:t xml:space="preserve">All persons who participate in any Wellness Program activity or service must complete a </w:t>
      </w:r>
      <w:hyperlink r:id="rId8" w:history="1">
        <w:r w:rsidRPr="006264D8">
          <w:rPr>
            <w:rStyle w:val="Hyperlink"/>
          </w:rPr>
          <w:t>Release of Liability</w:t>
        </w:r>
      </w:hyperlink>
      <w:r>
        <w:t xml:space="preserve"> provided by DSHS</w:t>
      </w:r>
      <w:r w:rsidRPr="00143E3A">
        <w:t xml:space="preserve"> before </w:t>
      </w:r>
      <w:r w:rsidR="00F20DE4">
        <w:t xml:space="preserve">participating.  Releases will be kept in a file maintained by the </w:t>
      </w:r>
      <w:r w:rsidR="00010B79">
        <w:t>Wellness Committee Chairperson.</w:t>
      </w:r>
    </w:p>
    <w:p w:rsidR="008637C1" w:rsidRPr="00BE5B38" w:rsidRDefault="008637C1" w:rsidP="00303E2B">
      <w:pPr>
        <w:pStyle w:val="Indent1"/>
        <w:jc w:val="left"/>
      </w:pPr>
      <w:r w:rsidRPr="00BE5B38">
        <w:t>7.</w:t>
      </w:r>
      <w:r w:rsidRPr="00BE5B38">
        <w:tab/>
      </w:r>
      <w:r w:rsidRPr="00BE5B38">
        <w:rPr>
          <w:u w:val="single"/>
        </w:rPr>
        <w:t>Program Content.</w:t>
      </w:r>
      <w:r w:rsidRPr="00BE5B38">
        <w:t xml:space="preserve">  The Wellness Program may consist of, but</w:t>
      </w:r>
      <w:r w:rsidRPr="00D54D40">
        <w:t xml:space="preserve"> </w:t>
      </w:r>
      <w:r w:rsidR="00570F27" w:rsidRPr="00D54D40">
        <w:t>is</w:t>
      </w:r>
      <w:r w:rsidR="00570F27" w:rsidRPr="00BE5B38">
        <w:t xml:space="preserve"> </w:t>
      </w:r>
      <w:r w:rsidRPr="00BE5B38">
        <w:t>not limited to, activities that raise awareness, promote lifestyle changes and provide assistance and support for employees participating in the program.  Generally, wellness programs target major risk factors for chronic disease and factors that contribute to diminished quality of life.  Wellness activities may include:</w:t>
      </w:r>
    </w:p>
    <w:p w:rsidR="008637C1" w:rsidRPr="00BE5B38" w:rsidRDefault="008637C1" w:rsidP="00303E2B">
      <w:pPr>
        <w:pStyle w:val="Indent2"/>
        <w:jc w:val="left"/>
      </w:pPr>
      <w:r w:rsidRPr="00BE5B38">
        <w:t>a.</w:t>
      </w:r>
      <w:r w:rsidRPr="00BE5B38">
        <w:tab/>
        <w:t>encouraging nutritious eating;</w:t>
      </w:r>
    </w:p>
    <w:p w:rsidR="008637C1" w:rsidRPr="00BE5B38" w:rsidRDefault="008637C1" w:rsidP="00303E2B">
      <w:pPr>
        <w:pStyle w:val="Indent2"/>
        <w:jc w:val="left"/>
      </w:pPr>
      <w:r w:rsidRPr="00BE5B38">
        <w:t>b.</w:t>
      </w:r>
      <w:r w:rsidRPr="00BE5B38">
        <w:tab/>
        <w:t>increasing physical activity;</w:t>
      </w:r>
    </w:p>
    <w:p w:rsidR="008637C1" w:rsidRPr="00BE5B38" w:rsidRDefault="008637C1" w:rsidP="00303E2B">
      <w:pPr>
        <w:pStyle w:val="Indent2"/>
        <w:jc w:val="left"/>
      </w:pPr>
      <w:r w:rsidRPr="00BE5B38">
        <w:lastRenderedPageBreak/>
        <w:t>c.</w:t>
      </w:r>
      <w:r w:rsidRPr="00BE5B38">
        <w:tab/>
        <w:t xml:space="preserve">encouraging preventative screenings; </w:t>
      </w:r>
    </w:p>
    <w:p w:rsidR="008637C1" w:rsidRPr="00BE5B38" w:rsidRDefault="008637C1" w:rsidP="00303E2B">
      <w:pPr>
        <w:pStyle w:val="Indent2"/>
        <w:jc w:val="left"/>
      </w:pPr>
      <w:r w:rsidRPr="00BE5B38">
        <w:t>d.</w:t>
      </w:r>
      <w:r w:rsidRPr="00BE5B38">
        <w:tab/>
        <w:t xml:space="preserve">tobacco cessation; </w:t>
      </w:r>
    </w:p>
    <w:p w:rsidR="008637C1" w:rsidRPr="00BE5B38" w:rsidRDefault="008637C1" w:rsidP="00303E2B">
      <w:pPr>
        <w:pStyle w:val="Indent2"/>
        <w:jc w:val="left"/>
      </w:pPr>
      <w:r w:rsidRPr="00BE5B38">
        <w:t>e.</w:t>
      </w:r>
      <w:r w:rsidRPr="00BE5B38">
        <w:tab/>
        <w:t>stress reduction; and,</w:t>
      </w:r>
    </w:p>
    <w:p w:rsidR="008637C1" w:rsidRPr="00BE5B38" w:rsidRDefault="008637C1" w:rsidP="00303E2B">
      <w:pPr>
        <w:pStyle w:val="Indent2"/>
        <w:jc w:val="left"/>
      </w:pPr>
      <w:r w:rsidRPr="00BE5B38">
        <w:t>f.</w:t>
      </w:r>
      <w:r w:rsidRPr="00BE5B38">
        <w:tab/>
        <w:t>supporting healthy choices such as the prevention/reduction of substance dependency.</w:t>
      </w:r>
    </w:p>
    <w:p w:rsidR="009145A9" w:rsidRDefault="008637C1" w:rsidP="00303E2B">
      <w:pPr>
        <w:pStyle w:val="Indent1"/>
        <w:jc w:val="left"/>
      </w:pPr>
      <w:r>
        <w:t>8</w:t>
      </w:r>
      <w:r w:rsidR="00F509AE">
        <w:t>.</w:t>
      </w:r>
      <w:r w:rsidR="00F509AE">
        <w:tab/>
      </w:r>
      <w:r w:rsidR="00F509AE" w:rsidRPr="00143E3A">
        <w:rPr>
          <w:u w:val="single"/>
        </w:rPr>
        <w:t>Exercise During Working Hours</w:t>
      </w:r>
      <w:r w:rsidR="00F509AE">
        <w:rPr>
          <w:u w:val="single"/>
        </w:rPr>
        <w:t>.</w:t>
      </w:r>
      <w:r w:rsidR="00F509AE" w:rsidRPr="00143E3A">
        <w:t xml:space="preserve"> </w:t>
      </w:r>
      <w:r w:rsidR="00F509AE">
        <w:t xml:space="preserve"> </w:t>
      </w:r>
      <w:r w:rsidR="00F509AE" w:rsidRPr="00143E3A">
        <w:t xml:space="preserve">Pursuant to Texas Government Code §664.061(1), </w:t>
      </w:r>
      <w:r w:rsidR="001802F0">
        <w:t xml:space="preserve">and subject to the needs of the employee’s division, </w:t>
      </w:r>
      <w:r w:rsidR="00F509AE" w:rsidRPr="00143E3A">
        <w:t xml:space="preserve">the </w:t>
      </w:r>
      <w:r w:rsidR="00F509AE">
        <w:t>agency</w:t>
      </w:r>
      <w:r w:rsidR="00F509AE" w:rsidRPr="00143E3A">
        <w:t xml:space="preserve"> </w:t>
      </w:r>
      <w:r w:rsidR="001802F0">
        <w:t xml:space="preserve">may </w:t>
      </w:r>
      <w:r w:rsidR="00F509AE" w:rsidRPr="00143E3A">
        <w:t>grant employee</w:t>
      </w:r>
      <w:r w:rsidR="001802F0">
        <w:t>s</w:t>
      </w:r>
      <w:r w:rsidR="00F509AE" w:rsidRPr="00143E3A">
        <w:t xml:space="preserve"> 30 minutes to exercise - three times a week - during normal working hours. </w:t>
      </w:r>
      <w:r w:rsidR="00F509AE">
        <w:t xml:space="preserve"> </w:t>
      </w:r>
      <w:r w:rsidR="00F509AE" w:rsidRPr="00143E3A">
        <w:t xml:space="preserve">Employees are not required to make up this time or use leave. </w:t>
      </w:r>
      <w:r w:rsidR="00F509AE">
        <w:t xml:space="preserve"> </w:t>
      </w:r>
      <w:r w:rsidR="00F509AE" w:rsidRPr="00143E3A">
        <w:t xml:space="preserve">Exercise time may be used in </w:t>
      </w:r>
      <w:r w:rsidR="00873B99">
        <w:t>30</w:t>
      </w:r>
      <w:r w:rsidR="00873B99" w:rsidRPr="00143E3A">
        <w:t>-minute</w:t>
      </w:r>
      <w:r w:rsidR="00F509AE" w:rsidRPr="00143E3A">
        <w:t xml:space="preserve"> increments</w:t>
      </w:r>
      <w:r w:rsidR="00F509AE">
        <w:t xml:space="preserve"> only</w:t>
      </w:r>
      <w:r w:rsidR="00F509AE" w:rsidRPr="00143E3A">
        <w:t xml:space="preserve">. </w:t>
      </w:r>
      <w:r w:rsidR="00F509AE">
        <w:t xml:space="preserve"> </w:t>
      </w:r>
      <w:r w:rsidR="00303E2B">
        <w:br/>
      </w:r>
      <w:r w:rsidR="00303E2B">
        <w:br/>
      </w:r>
      <w:r w:rsidR="00F509AE" w:rsidRPr="00143E3A">
        <w:t xml:space="preserve">Exercise time </w:t>
      </w:r>
      <w:r w:rsidR="00F509AE">
        <w:t>does</w:t>
      </w:r>
      <w:r w:rsidR="00F509AE" w:rsidRPr="00143E3A">
        <w:t xml:space="preserve"> not </w:t>
      </w:r>
      <w:r w:rsidR="00F509AE">
        <w:t>ac</w:t>
      </w:r>
      <w:r w:rsidR="00F509AE" w:rsidRPr="00143E3A">
        <w:t>cumulate and may not be carried forward for use</w:t>
      </w:r>
      <w:r w:rsidR="00F509AE">
        <w:t xml:space="preserve"> at another time</w:t>
      </w:r>
      <w:r w:rsidR="00F509AE" w:rsidRPr="00143E3A">
        <w:t xml:space="preserve">. </w:t>
      </w:r>
      <w:r w:rsidR="00F509AE">
        <w:t xml:space="preserve"> </w:t>
      </w:r>
      <w:r w:rsidR="00F509AE" w:rsidRPr="00143E3A">
        <w:t xml:space="preserve">Exercise time may be used at any time during the work day, or combined with lunch to give the employee more time for wellness activities. </w:t>
      </w:r>
      <w:r w:rsidR="00F509AE">
        <w:t xml:space="preserve"> </w:t>
      </w:r>
    </w:p>
    <w:p w:rsidR="005A576A" w:rsidRDefault="009145A9" w:rsidP="00303E2B">
      <w:pPr>
        <w:pStyle w:val="Indent1"/>
        <w:jc w:val="left"/>
      </w:pPr>
      <w:r>
        <w:tab/>
      </w:r>
      <w:r w:rsidR="00F509AE">
        <w:t xml:space="preserve">Employees must </w:t>
      </w:r>
      <w:r w:rsidR="00AE1853">
        <w:t xml:space="preserve">enter </w:t>
      </w:r>
      <w:r w:rsidR="00D33D38" w:rsidRPr="00873B99">
        <w:t xml:space="preserve">the time reporting code for </w:t>
      </w:r>
      <w:r w:rsidR="00AE1853" w:rsidRPr="00873B99">
        <w:t xml:space="preserve">exercise taken (EXERT) on </w:t>
      </w:r>
      <w:r w:rsidR="00D33D38" w:rsidRPr="00873B99">
        <w:t>the</w:t>
      </w:r>
      <w:r w:rsidRPr="00873B99">
        <w:t>ir</w:t>
      </w:r>
      <w:r w:rsidR="00D33D38" w:rsidRPr="00873B99">
        <w:t xml:space="preserve"> </w:t>
      </w:r>
      <w:r w:rsidR="00AE1853" w:rsidRPr="00873B99">
        <w:t>employee</w:t>
      </w:r>
      <w:r w:rsidR="00AE1853">
        <w:t xml:space="preserve"> timesheet in </w:t>
      </w:r>
      <w:r>
        <w:t>the agency’s Centralized Accounting and Payroll/Personnel System (</w:t>
      </w:r>
      <w:r w:rsidR="00AE1853">
        <w:t>CAPPS</w:t>
      </w:r>
      <w:r>
        <w:t>)</w:t>
      </w:r>
      <w:r w:rsidR="00AE1853">
        <w:t xml:space="preserve"> to document their use of exercise time.</w:t>
      </w:r>
      <w:r w:rsidR="005A576A">
        <w:t xml:space="preserve"> </w:t>
      </w:r>
      <w:r>
        <w:br/>
      </w:r>
      <w:r>
        <w:br/>
      </w:r>
      <w:r w:rsidR="005A576A">
        <w:t>Exercise time during work hours is a privilege extended to employees as voluntary options with the clear understanding that every position may not be adaptable to meeting the schedule requested by an employee.</w:t>
      </w:r>
    </w:p>
    <w:p w:rsidR="005A576A" w:rsidRDefault="005A576A" w:rsidP="00303E2B">
      <w:pPr>
        <w:pStyle w:val="Indent2"/>
        <w:jc w:val="left"/>
      </w:pPr>
      <w:r>
        <w:t>a.</w:t>
      </w:r>
      <w:r>
        <w:tab/>
        <w:t>Supervisors and managers will be responsible for determining whether the requested schedule can be accommodated without any adverse effect on the agency's service to the public, work productivity, or work environment.</w:t>
      </w:r>
    </w:p>
    <w:p w:rsidR="005A576A" w:rsidRDefault="005A576A" w:rsidP="00303E2B">
      <w:pPr>
        <w:pStyle w:val="Indent2"/>
        <w:jc w:val="left"/>
      </w:pPr>
      <w:r>
        <w:t>b.</w:t>
      </w:r>
      <w:r>
        <w:tab/>
        <w:t>Certain conditions may require a temporary return to normal working hours, such as meeting schedules, training, court leave, travel, State Board of Education meetings, staffing shortages during the holidays, and other conditions.</w:t>
      </w:r>
    </w:p>
    <w:p w:rsidR="005A576A" w:rsidRDefault="005A576A" w:rsidP="00303E2B">
      <w:pPr>
        <w:pStyle w:val="Indent2"/>
        <w:jc w:val="left"/>
      </w:pPr>
      <w:r>
        <w:t>c.</w:t>
      </w:r>
      <w:r>
        <w:tab/>
        <w:t xml:space="preserve">The division director may elect to terminate or modify </w:t>
      </w:r>
      <w:r w:rsidR="00BF3E71">
        <w:t xml:space="preserve">or temporarily suspend </w:t>
      </w:r>
      <w:r>
        <w:t>an individual's exercise schedule based on agency operational needs and efficiency.</w:t>
      </w:r>
    </w:p>
    <w:p w:rsidR="005A576A" w:rsidRDefault="005A576A" w:rsidP="00303E2B">
      <w:pPr>
        <w:pStyle w:val="Indent2"/>
        <w:jc w:val="left"/>
      </w:pPr>
      <w:r>
        <w:t>d.</w:t>
      </w:r>
      <w:r>
        <w:tab/>
        <w:t>Exercise schedules are requested through the immediate supervisor</w:t>
      </w:r>
      <w:r w:rsidR="00F14BC1">
        <w:t xml:space="preserve"> in writing</w:t>
      </w:r>
      <w:r>
        <w:t xml:space="preserve"> and are left to the discretion and approval of the division director.</w:t>
      </w:r>
    </w:p>
    <w:p w:rsidR="005A576A" w:rsidRDefault="005A576A" w:rsidP="00303E2B">
      <w:pPr>
        <w:pStyle w:val="Indent2"/>
        <w:jc w:val="left"/>
      </w:pPr>
      <w:r>
        <w:t>e.</w:t>
      </w:r>
      <w:r>
        <w:tab/>
        <w:t>Once approval of the exercise schedule is given by the division director, this schedule will remain in effect until it is terminated by the immediate supervisor or higher</w:t>
      </w:r>
      <w:r w:rsidR="009145A9">
        <w:t>-</w:t>
      </w:r>
      <w:r>
        <w:t>level manager or until the employee requests</w:t>
      </w:r>
      <w:r w:rsidR="00F14BC1">
        <w:t xml:space="preserve"> in writing, </w:t>
      </w:r>
      <w:r>
        <w:t>and is granted a schedule change (to return to a traditional schedule or another exercise schedule).  Emergency variations to the established schedule are permissible upon approval by the immediate supervisor.  It is strongly recommended that variances from the approved work schedule be authorized for operational or work-related reasons only.  Personal events are to be handled through appropriate leave time usage.</w:t>
      </w:r>
    </w:p>
    <w:p w:rsidR="005A576A" w:rsidRDefault="005A576A" w:rsidP="00303E2B">
      <w:pPr>
        <w:pStyle w:val="Indent1"/>
        <w:jc w:val="left"/>
      </w:pPr>
      <w:r>
        <w:tab/>
        <w:t>f.</w:t>
      </w:r>
      <w:r>
        <w:tab/>
      </w:r>
      <w:r w:rsidR="00F31B0F" w:rsidRPr="00F31B0F">
        <w:t xml:space="preserve">Responsibilities Concerning </w:t>
      </w:r>
      <w:r w:rsidR="008637C1">
        <w:t>Exercise</w:t>
      </w:r>
      <w:r w:rsidR="00F31B0F" w:rsidRPr="00F31B0F">
        <w:t xml:space="preserve"> Schedules</w:t>
      </w:r>
      <w:r w:rsidRPr="008637C1">
        <w:t>.</w:t>
      </w:r>
    </w:p>
    <w:p w:rsidR="00C26F09" w:rsidRDefault="005A576A" w:rsidP="006F17EF">
      <w:pPr>
        <w:pStyle w:val="Indent2"/>
        <w:tabs>
          <w:tab w:val="clear" w:pos="1440"/>
          <w:tab w:val="left" w:pos="2160"/>
        </w:tabs>
        <w:ind w:hanging="450"/>
        <w:jc w:val="left"/>
      </w:pPr>
      <w:r>
        <w:tab/>
        <w:t>(1)</w:t>
      </w:r>
      <w:r w:rsidR="00FD070A">
        <w:t xml:space="preserve">  </w:t>
      </w:r>
      <w:r w:rsidR="006F17EF">
        <w:tab/>
      </w:r>
      <w:r w:rsidR="00F14BC1">
        <w:t>Division Director Responsibilities.  Review, approve, and provide oversight.</w:t>
      </w:r>
    </w:p>
    <w:p w:rsidR="00F31B0F" w:rsidRDefault="00F14BC1" w:rsidP="006F17EF">
      <w:pPr>
        <w:pStyle w:val="Indent2"/>
        <w:ind w:left="2160" w:hanging="1170"/>
        <w:jc w:val="left"/>
      </w:pPr>
      <w:r>
        <w:tab/>
        <w:t xml:space="preserve">(2) </w:t>
      </w:r>
      <w:r w:rsidR="00FD070A">
        <w:t xml:space="preserve"> </w:t>
      </w:r>
      <w:r w:rsidR="006F17EF">
        <w:tab/>
      </w:r>
      <w:r w:rsidR="005A576A">
        <w:t xml:space="preserve">Supervisory/Managerial Responsibilities.  </w:t>
      </w:r>
      <w:r w:rsidR="00BF3E71">
        <w:t>A</w:t>
      </w:r>
      <w:r w:rsidR="00F50EAE">
        <w:t xml:space="preserve">n exercise </w:t>
      </w:r>
      <w:r w:rsidR="005A576A">
        <w:t xml:space="preserve">schedule </w:t>
      </w:r>
      <w:r w:rsidR="00BF3E71">
        <w:t>may be approved only if the employee’s supervisor and division director determine that the employee’s</w:t>
      </w:r>
      <w:r w:rsidR="005A576A">
        <w:t xml:space="preserve"> quality of work, turnaround time for key processes, performance measure targets, and the successful completion of project goals, objectives, and other commitments for which the employee is responsible will not be hindered.</w:t>
      </w:r>
    </w:p>
    <w:p w:rsidR="00F31B0F" w:rsidRDefault="005A576A" w:rsidP="00303E2B">
      <w:pPr>
        <w:pStyle w:val="Indent2"/>
        <w:tabs>
          <w:tab w:val="clear" w:pos="1440"/>
        </w:tabs>
        <w:ind w:left="2160" w:hanging="1195"/>
        <w:jc w:val="left"/>
      </w:pPr>
      <w:r>
        <w:tab/>
        <w:t xml:space="preserve">Supervisors are responsible for ensuring that employees on exercise work schedules observe assigned work hours and proper timekeeping procedures </w:t>
      </w:r>
      <w:r w:rsidR="009145A9">
        <w:t>for</w:t>
      </w:r>
      <w:r w:rsidR="00873B99">
        <w:t xml:space="preserve"> </w:t>
      </w:r>
      <w:r w:rsidR="00332671">
        <w:t>entering</w:t>
      </w:r>
      <w:r w:rsidR="00F50EAE">
        <w:t xml:space="preserve"> their use of exercise time</w:t>
      </w:r>
      <w:r w:rsidR="00332671">
        <w:t xml:space="preserve"> on the</w:t>
      </w:r>
      <w:r w:rsidR="009145A9">
        <w:t>ir</w:t>
      </w:r>
      <w:r w:rsidR="00332671">
        <w:t xml:space="preserve"> employee timesheet in </w:t>
      </w:r>
      <w:r w:rsidR="00D33D38">
        <w:t>CAPPS.</w:t>
      </w:r>
    </w:p>
    <w:p w:rsidR="00F31B0F" w:rsidRDefault="00F50EAE" w:rsidP="00303E2B">
      <w:pPr>
        <w:pStyle w:val="Indent2"/>
        <w:tabs>
          <w:tab w:val="clear" w:pos="1440"/>
        </w:tabs>
        <w:ind w:left="2160" w:hanging="1195"/>
        <w:jc w:val="left"/>
      </w:pPr>
      <w:r>
        <w:tab/>
        <w:t xml:space="preserve">Supervisors are responsible for ensuring that exercise schedules of the unit’s employees are equitably distributed among employees; for example, all requesting employees have an opportunity to participate in beginning or end of the day exercise schedules once a week. </w:t>
      </w:r>
    </w:p>
    <w:p w:rsidR="005A576A" w:rsidRDefault="005A576A" w:rsidP="006F17EF">
      <w:pPr>
        <w:pStyle w:val="Indent2"/>
        <w:tabs>
          <w:tab w:val="clear" w:pos="1440"/>
          <w:tab w:val="left" w:pos="2250"/>
        </w:tabs>
        <w:ind w:left="2160" w:hanging="720"/>
        <w:jc w:val="left"/>
      </w:pPr>
      <w:r>
        <w:t>(</w:t>
      </w:r>
      <w:r w:rsidR="00F14BC1">
        <w:t>3</w:t>
      </w:r>
      <w:r w:rsidR="00FD070A">
        <w:t xml:space="preserve">)  </w:t>
      </w:r>
      <w:r w:rsidR="006F17EF">
        <w:tab/>
      </w:r>
      <w:r>
        <w:t xml:space="preserve">Employee Responsibilities.  Employees who request </w:t>
      </w:r>
      <w:r w:rsidR="00F50EAE">
        <w:t>exercise</w:t>
      </w:r>
      <w:r>
        <w:t xml:space="preserve"> schedules must consult with their immediate supervisors to design schedules according to job duties and supervisory requirements.  Schedules are then implemented only after approval by the immediate supervisor and division director.</w:t>
      </w:r>
    </w:p>
    <w:p w:rsidR="005A576A" w:rsidRDefault="005A576A" w:rsidP="00303E2B">
      <w:pPr>
        <w:pStyle w:val="Indent2"/>
        <w:tabs>
          <w:tab w:val="clear" w:pos="1440"/>
          <w:tab w:val="left" w:pos="2250"/>
        </w:tabs>
        <w:ind w:left="2160" w:hanging="1195"/>
        <w:jc w:val="left"/>
      </w:pPr>
      <w:r>
        <w:tab/>
        <w:t xml:space="preserve">Employees are responsible for adhering to the approved </w:t>
      </w:r>
      <w:r w:rsidR="00F50EAE">
        <w:t>exercise</w:t>
      </w:r>
      <w:r>
        <w:t xml:space="preserve"> schedule, recording </w:t>
      </w:r>
      <w:r w:rsidR="00F50EAE">
        <w:t>exercise time</w:t>
      </w:r>
      <w:r>
        <w:t xml:space="preserve"> accurately, and communicating any problems to their immediate supervisor.</w:t>
      </w:r>
    </w:p>
    <w:p w:rsidR="00B95E5A" w:rsidRPr="00B95E5A" w:rsidRDefault="00B95E5A" w:rsidP="00303E2B">
      <w:pPr>
        <w:pStyle w:val="Indent2"/>
        <w:tabs>
          <w:tab w:val="clear" w:pos="1440"/>
          <w:tab w:val="left" w:pos="2250"/>
        </w:tabs>
        <w:ind w:left="2160" w:hanging="1195"/>
        <w:jc w:val="left"/>
        <w:rPr>
          <w:color w:val="FF0000"/>
        </w:rPr>
      </w:pPr>
      <w:r>
        <w:tab/>
      </w:r>
      <w:r w:rsidR="00F31B0F" w:rsidRPr="00D54D40">
        <w:t xml:space="preserve">Employees who commit to participate in the program and who modify their exercise schedule without the permission of their immediate supervisor </w:t>
      </w:r>
      <w:r w:rsidRPr="00D54D40">
        <w:t>may lose the privilege of having an exercise schedule</w:t>
      </w:r>
      <w:r>
        <w:rPr>
          <w:color w:val="FF0000"/>
        </w:rPr>
        <w:t>.</w:t>
      </w:r>
    </w:p>
    <w:p w:rsidR="005A576A" w:rsidRPr="005455E1" w:rsidRDefault="005A576A" w:rsidP="00303E2B">
      <w:pPr>
        <w:pStyle w:val="Indent2"/>
        <w:tabs>
          <w:tab w:val="clear" w:pos="1440"/>
          <w:tab w:val="left" w:pos="2250"/>
        </w:tabs>
        <w:ind w:left="2160" w:hanging="1195"/>
        <w:jc w:val="left"/>
      </w:pPr>
      <w:r w:rsidRPr="005455E1">
        <w:tab/>
        <w:t xml:space="preserve">Employees authorized to participate in this program will be required to work a set schedule and will sign an agreement committing to </w:t>
      </w:r>
      <w:r w:rsidR="00F50EAE">
        <w:t>the schedule</w:t>
      </w:r>
      <w:r w:rsidRPr="005455E1">
        <w:t>.</w:t>
      </w:r>
    </w:p>
    <w:p w:rsidR="00BE5B38" w:rsidRDefault="00D54D40" w:rsidP="00303E2B">
      <w:pPr>
        <w:pStyle w:val="Indent2"/>
        <w:tabs>
          <w:tab w:val="clear" w:pos="1440"/>
          <w:tab w:val="left" w:pos="2250"/>
        </w:tabs>
        <w:ind w:left="990" w:hanging="1195"/>
        <w:jc w:val="left"/>
      </w:pPr>
      <w:r>
        <w:t xml:space="preserve">               9. </w:t>
      </w:r>
      <w:r>
        <w:tab/>
      </w:r>
      <w:r w:rsidR="005D233B">
        <w:rPr>
          <w:u w:val="single"/>
        </w:rPr>
        <w:t>Fitness Leave.</w:t>
      </w:r>
      <w:r w:rsidR="005D233B">
        <w:t xml:space="preserve"> The agency may grant employees leave as an incentive or award for fulfilling the requirements of an agency-wide wellness activity or contest.  Fitness Leave must be approved by the </w:t>
      </w:r>
      <w:r w:rsidR="00FD070A">
        <w:t xml:space="preserve">Deputy Commissioner of Operations </w:t>
      </w:r>
      <w:r w:rsidR="005D233B">
        <w:t>prior to the beginning of the activity or contest.  Employees are permitted to earn up to 16 hours of Fitness Leave per calendar year.  Fitness Leave must be scheduled in advance with the approval of the employee’s supervisor.  Fitness Leave expires if it is not used within 12 months from the date it is earned, and will not be paid to the employee</w:t>
      </w:r>
      <w:r w:rsidR="004C1078">
        <w:t xml:space="preserve"> at separation of employment.</w:t>
      </w:r>
    </w:p>
    <w:p w:rsidR="00F509AE" w:rsidRDefault="004C1078" w:rsidP="00303E2B">
      <w:pPr>
        <w:pStyle w:val="Indent1"/>
        <w:jc w:val="left"/>
      </w:pPr>
      <w:r>
        <w:t xml:space="preserve"> 10</w:t>
      </w:r>
      <w:r w:rsidR="00F509AE">
        <w:t>.</w:t>
      </w:r>
      <w:r w:rsidR="00F509AE">
        <w:tab/>
      </w:r>
      <w:r w:rsidR="00F509AE" w:rsidRPr="00143E3A">
        <w:rPr>
          <w:u w:val="single"/>
        </w:rPr>
        <w:t>Wellness Leave</w:t>
      </w:r>
      <w:r w:rsidR="00F509AE">
        <w:rPr>
          <w:u w:val="single"/>
        </w:rPr>
        <w:t>.</w:t>
      </w:r>
      <w:r w:rsidR="00F509AE">
        <w:t xml:space="preserve">  </w:t>
      </w:r>
      <w:r w:rsidR="00F509AE" w:rsidRPr="00143E3A">
        <w:t xml:space="preserve">Pursuant to Texas Government Code §664.061(3), the </w:t>
      </w:r>
      <w:r w:rsidR="00F509AE">
        <w:t>agency</w:t>
      </w:r>
      <w:r w:rsidR="00F509AE" w:rsidRPr="00143E3A">
        <w:t xml:space="preserve"> </w:t>
      </w:r>
      <w:r w:rsidR="00F509AE">
        <w:t>may award</w:t>
      </w:r>
      <w:r w:rsidR="00F509AE" w:rsidRPr="00143E3A">
        <w:t xml:space="preserve"> eight hours of additional leave time each 12</w:t>
      </w:r>
      <w:r w:rsidR="00D33D38">
        <w:t>-</w:t>
      </w:r>
      <w:r w:rsidR="00F509AE" w:rsidRPr="00143E3A">
        <w:t xml:space="preserve">month period to employees who receive a physical examination and complete the </w:t>
      </w:r>
      <w:r w:rsidR="00332671">
        <w:t>Health Risk Assessment (</w:t>
      </w:r>
      <w:r w:rsidR="00F509AE">
        <w:t>HRA</w:t>
      </w:r>
      <w:r w:rsidR="00332671">
        <w:t>)</w:t>
      </w:r>
      <w:r w:rsidR="00F509AE" w:rsidRPr="00143E3A">
        <w:t xml:space="preserve"> designated by the agency.</w:t>
      </w:r>
      <w:r w:rsidR="00F509AE">
        <w:t xml:space="preserve">  Supporting documentation must be submitted to the </w:t>
      </w:r>
      <w:r w:rsidR="00FB54E9">
        <w:t>Human Resources</w:t>
      </w:r>
      <w:r w:rsidR="006D514B">
        <w:t xml:space="preserve"> </w:t>
      </w:r>
      <w:r w:rsidR="00F20DE4">
        <w:t xml:space="preserve">Wellness </w:t>
      </w:r>
      <w:r w:rsidR="00FB54E9">
        <w:t>Specialist</w:t>
      </w:r>
      <w:r w:rsidR="00F509AE">
        <w:t>, and includes:</w:t>
      </w:r>
    </w:p>
    <w:p w:rsidR="00F509AE" w:rsidRDefault="00033BA9" w:rsidP="00303E2B">
      <w:pPr>
        <w:pStyle w:val="Indent2"/>
        <w:jc w:val="left"/>
      </w:pPr>
      <w:r>
        <w:tab/>
      </w:r>
      <w:r>
        <w:tab/>
      </w:r>
      <w:r w:rsidR="00F509AE">
        <w:t>a.</w:t>
      </w:r>
      <w:r w:rsidR="00F509AE">
        <w:tab/>
        <w:t>an affidavit of HRA completion, and</w:t>
      </w:r>
    </w:p>
    <w:p w:rsidR="00F509AE" w:rsidRDefault="00033BA9" w:rsidP="00303E2B">
      <w:pPr>
        <w:pStyle w:val="Indent2"/>
        <w:jc w:val="left"/>
      </w:pPr>
      <w:r>
        <w:tab/>
      </w:r>
      <w:r>
        <w:tab/>
      </w:r>
      <w:r w:rsidR="00F509AE">
        <w:t>b.</w:t>
      </w:r>
      <w:r w:rsidR="00F509AE">
        <w:tab/>
        <w:t xml:space="preserve">a physician’s note certifying physical examination completion.  </w:t>
      </w:r>
    </w:p>
    <w:p w:rsidR="00D54D40" w:rsidRDefault="00F509AE" w:rsidP="00303E2B">
      <w:pPr>
        <w:pStyle w:val="Indent1"/>
        <w:jc w:val="left"/>
      </w:pPr>
      <w:r>
        <w:tab/>
      </w:r>
      <w:r>
        <w:rPr>
          <w:rFonts w:cs="Arial"/>
        </w:rPr>
        <w:t xml:space="preserve">Wellness Leave must be scheduled in advance with the approval of the employee’s supervisor. </w:t>
      </w:r>
      <w:r w:rsidR="00033BA9">
        <w:rPr>
          <w:rFonts w:cs="Arial"/>
        </w:rPr>
        <w:br/>
      </w:r>
      <w:r w:rsidR="00033BA9">
        <w:rPr>
          <w:rFonts w:cs="Arial"/>
        </w:rPr>
        <w:br/>
      </w:r>
      <w:bookmarkStart w:id="0" w:name="_GoBack"/>
      <w:bookmarkEnd w:id="0"/>
      <w:r w:rsidRPr="00143E3A">
        <w:t>Wellness Leave expires if not used within 12 months from the date it is earned</w:t>
      </w:r>
      <w:r w:rsidR="00D54D40">
        <w:t>, and will not be paid to the employee upon separation from employment.</w:t>
      </w:r>
    </w:p>
    <w:p w:rsidR="00F509AE" w:rsidRPr="00143E3A" w:rsidRDefault="004C1078" w:rsidP="00303E2B">
      <w:pPr>
        <w:pStyle w:val="Indent1"/>
        <w:jc w:val="left"/>
      </w:pPr>
      <w:r>
        <w:t>11</w:t>
      </w:r>
      <w:r w:rsidR="00F509AE">
        <w:t>.</w:t>
      </w:r>
      <w:r w:rsidR="00F509AE">
        <w:tab/>
      </w:r>
      <w:r w:rsidR="00F509AE">
        <w:rPr>
          <w:u w:val="single"/>
        </w:rPr>
        <w:t>Injury.</w:t>
      </w:r>
      <w:r w:rsidR="00F509AE">
        <w:t xml:space="preserve">  </w:t>
      </w:r>
      <w:r w:rsidR="00BF3E71">
        <w:t xml:space="preserve">Time spent on exercise leave is not within the course and scope of employment. </w:t>
      </w:r>
      <w:r w:rsidR="00F509AE" w:rsidRPr="00594BA0">
        <w:t>Employees injured by participating in the wellness program are not eligible for workers' compensation benefits.</w:t>
      </w:r>
      <w:r w:rsidR="008637C1">
        <w:t xml:space="preserve">  </w:t>
      </w:r>
    </w:p>
    <w:p w:rsidR="00F509AE" w:rsidRPr="00143E3A" w:rsidRDefault="004C1078" w:rsidP="00303E2B">
      <w:pPr>
        <w:pStyle w:val="Indent1"/>
        <w:jc w:val="left"/>
      </w:pPr>
      <w:r>
        <w:t>12</w:t>
      </w:r>
      <w:r w:rsidR="00F509AE">
        <w:t>.</w:t>
      </w:r>
      <w:r w:rsidR="00F509AE">
        <w:tab/>
      </w:r>
      <w:r w:rsidR="00F509AE" w:rsidRPr="00143E3A">
        <w:rPr>
          <w:u w:val="single"/>
        </w:rPr>
        <w:t>Funds and Facilities for Wellness Programs</w:t>
      </w:r>
      <w:r w:rsidR="00F509AE">
        <w:rPr>
          <w:u w:val="single"/>
        </w:rPr>
        <w:t>.</w:t>
      </w:r>
      <w:r w:rsidR="00F509AE" w:rsidRPr="00143E3A">
        <w:t xml:space="preserve"> </w:t>
      </w:r>
      <w:r w:rsidR="00F509AE">
        <w:t xml:space="preserve"> </w:t>
      </w:r>
      <w:r w:rsidR="00F509AE" w:rsidRPr="00143E3A">
        <w:t>The agency may provide funds each fiscal year to supplement health fitness education and activities for employees, or for other costs related to the Wellness Program.</w:t>
      </w:r>
      <w:r w:rsidR="00F509AE">
        <w:t xml:space="preserve">  </w:t>
      </w:r>
      <w:r w:rsidR="00F509AE" w:rsidRPr="00143E3A">
        <w:t>Available facilities may be used for the Wellness Program, including available conference or meeting rooms, auditoriums and outdoor areas suitable for instruction or fitness activities</w:t>
      </w:r>
      <w:r w:rsidR="008637C1">
        <w:t>.</w:t>
      </w:r>
    </w:p>
    <w:p w:rsidR="00F509AE" w:rsidRDefault="004C1078" w:rsidP="00303E2B">
      <w:pPr>
        <w:pStyle w:val="Indent1"/>
        <w:jc w:val="left"/>
      </w:pPr>
      <w:r>
        <w:t xml:space="preserve">13. </w:t>
      </w:r>
      <w:r w:rsidR="00F509AE">
        <w:tab/>
      </w:r>
      <w:r w:rsidR="00F509AE" w:rsidRPr="00143E3A">
        <w:rPr>
          <w:u w:val="single"/>
        </w:rPr>
        <w:t>Providers of Instruction</w:t>
      </w:r>
      <w:r w:rsidR="00F509AE">
        <w:rPr>
          <w:u w:val="single"/>
        </w:rPr>
        <w:t>.</w:t>
      </w:r>
      <w:r w:rsidR="00F509AE">
        <w:t xml:space="preserve">  </w:t>
      </w:r>
      <w:r w:rsidR="00F509AE" w:rsidRPr="00143E3A">
        <w:t xml:space="preserve">Providers of instruction or services for the Wellness Program may include local, state, or federal agencies; hospital or medical care professionals; health educators; nutritionists; dietitians; physiologists; community organizations; consultants; or other individuals or groups with expertise in the particular health or fitness area. </w:t>
      </w:r>
      <w:r w:rsidR="00F509AE">
        <w:t xml:space="preserve"> </w:t>
      </w:r>
      <w:r w:rsidR="00F509AE" w:rsidRPr="00143E3A">
        <w:t>Only persons with accepted degrees or certification, or recognized training will be selected as providers of instruction or services</w:t>
      </w:r>
      <w:r w:rsidR="00F509AE">
        <w:t>. The agency</w:t>
      </w:r>
      <w:r w:rsidR="00F509AE" w:rsidRPr="00143E3A">
        <w:t xml:space="preserve"> may contract with qualified providers of instruction and services related to the program.</w:t>
      </w:r>
      <w:r w:rsidR="00CC6AE1">
        <w:br/>
      </w:r>
      <w:r w:rsidR="00CC6AE1">
        <w:br/>
      </w:r>
      <w:r w:rsidR="00CC6AE1">
        <w:br/>
      </w:r>
    </w:p>
    <w:p w:rsidR="00D54D40" w:rsidRDefault="002B4F97" w:rsidP="00303E2B">
      <w:pPr>
        <w:pStyle w:val="Indent1"/>
        <w:jc w:val="left"/>
      </w:pPr>
      <w:r>
        <w:tab/>
      </w:r>
      <w:r>
        <w:rPr>
          <w:u w:val="single"/>
        </w:rPr>
        <w:t xml:space="preserve">    </w:t>
      </w:r>
      <w:r>
        <w:rPr>
          <w:rFonts w:cs="Arial"/>
          <w:kern w:val="2"/>
          <w:u w:val="single"/>
        </w:rPr>
        <w:t xml:space="preserve">Megan Aghazadian            </w:t>
      </w:r>
      <w:r>
        <w:rPr>
          <w:u w:val="single"/>
        </w:rPr>
        <w:t xml:space="preserve">               </w:t>
      </w:r>
      <w:r>
        <w:tab/>
        <w:t xml:space="preserve"> </w:t>
      </w:r>
      <w:r>
        <w:tab/>
      </w:r>
      <w:r>
        <w:tab/>
      </w:r>
      <w:r>
        <w:rPr>
          <w:u w:val="single"/>
        </w:rPr>
        <w:t xml:space="preserve">August 4, 2017                 </w:t>
      </w:r>
      <w:r>
        <w:br/>
        <w:t xml:space="preserve">    Deputy Commissioner of Operations</w:t>
      </w:r>
      <w:r>
        <w:tab/>
      </w:r>
      <w:r>
        <w:tab/>
      </w:r>
      <w:r>
        <w:tab/>
      </w:r>
      <w:r>
        <w:t>Effective Date</w:t>
      </w:r>
      <w:r>
        <w:br/>
      </w:r>
      <w:r>
        <w:br/>
      </w:r>
    </w:p>
    <w:p w:rsidR="0023691E" w:rsidRDefault="0023691E" w:rsidP="00520A65">
      <w:pPr>
        <w:pStyle w:val="FlushLeft"/>
        <w:ind w:left="720" w:hanging="245"/>
        <w:jc w:val="left"/>
      </w:pPr>
      <w:r>
        <w:t xml:space="preserve">  </w:t>
      </w:r>
      <w:r w:rsidR="00486D5D">
        <w:br/>
      </w:r>
    </w:p>
    <w:p w:rsidR="00B239CC" w:rsidRDefault="00B239CC" w:rsidP="00303E2B">
      <w:pPr>
        <w:pStyle w:val="Indent1"/>
        <w:jc w:val="left"/>
      </w:pPr>
    </w:p>
    <w:p w:rsidR="00F509AE" w:rsidRDefault="00F509AE" w:rsidP="00303E2B">
      <w:pPr>
        <w:pStyle w:val="FlushLeft"/>
        <w:jc w:val="left"/>
        <w:rPr>
          <w:b/>
        </w:rPr>
      </w:pPr>
      <w:r w:rsidRPr="007F1DDF">
        <w:rPr>
          <w:b/>
        </w:rPr>
        <w:t>Documents:</w:t>
      </w:r>
    </w:p>
    <w:p w:rsidR="002B4F97" w:rsidRDefault="002B4F97" w:rsidP="00303E2B">
      <w:pPr>
        <w:pStyle w:val="FlushLeft"/>
        <w:jc w:val="left"/>
        <w:rPr>
          <w:rStyle w:val="Hyperlink"/>
        </w:rPr>
      </w:pPr>
      <w:hyperlink r:id="rId9" w:history="1">
        <w:r w:rsidRPr="006638C7">
          <w:rPr>
            <w:rStyle w:val="Hyperlink"/>
          </w:rPr>
          <w:t>CAPPS – Time Reporting Codes (TRCs)</w:t>
        </w:r>
      </w:hyperlink>
    </w:p>
    <w:p w:rsidR="002B4F97" w:rsidRDefault="002B4F97" w:rsidP="00303E2B">
      <w:pPr>
        <w:pStyle w:val="FlushLeft"/>
        <w:jc w:val="left"/>
        <w:rPr>
          <w:rStyle w:val="Hyperlink"/>
        </w:rPr>
      </w:pPr>
    </w:p>
    <w:p w:rsidR="00F509AE" w:rsidRDefault="00414661" w:rsidP="00303E2B">
      <w:pPr>
        <w:pStyle w:val="FlushLeft"/>
        <w:jc w:val="left"/>
        <w:rPr>
          <w:color w:val="0000FF"/>
          <w:u w:val="single"/>
        </w:rPr>
      </w:pPr>
      <w:hyperlink r:id="rId10" w:history="1">
        <w:r w:rsidR="00F509AE" w:rsidRPr="006264D8">
          <w:rPr>
            <w:rStyle w:val="Hyperlink"/>
          </w:rPr>
          <w:t>Physical Fitness Readiness Questionnaire</w:t>
        </w:r>
      </w:hyperlink>
    </w:p>
    <w:p w:rsidR="004F4018" w:rsidRDefault="00414661" w:rsidP="00303E2B">
      <w:pPr>
        <w:pStyle w:val="FlushLeft"/>
        <w:jc w:val="left"/>
      </w:pPr>
      <w:hyperlink r:id="rId11" w:history="1">
        <w:r w:rsidR="00A30432" w:rsidRPr="006264D8">
          <w:rPr>
            <w:rStyle w:val="Hyperlink"/>
          </w:rPr>
          <w:t>Release of Liability</w:t>
        </w:r>
      </w:hyperlink>
      <w:r w:rsidR="00A30432">
        <w:t xml:space="preserve"> </w:t>
      </w:r>
    </w:p>
    <w:p w:rsidR="00D54D40" w:rsidRDefault="002B4F97" w:rsidP="00303E2B">
      <w:pPr>
        <w:pStyle w:val="FlushLeft"/>
        <w:jc w:val="left"/>
        <w:rPr>
          <w:rStyle w:val="Hyperlink"/>
        </w:rPr>
      </w:pPr>
      <w:r>
        <w:br/>
      </w:r>
      <w:hyperlink r:id="rId12" w:history="1">
        <w:r w:rsidR="00D54D40" w:rsidRPr="00D439E5">
          <w:rPr>
            <w:rStyle w:val="Hyperlink"/>
          </w:rPr>
          <w:t>OP 07-44 Worksite Wellness Committee</w:t>
        </w:r>
      </w:hyperlink>
    </w:p>
    <w:p w:rsidR="00AA1DBC" w:rsidRDefault="00414661" w:rsidP="00AA1DBC">
      <w:pPr>
        <w:pStyle w:val="FlushLeft"/>
        <w:jc w:val="left"/>
      </w:pPr>
      <w:hyperlink r:id="rId13" w:history="1">
        <w:hyperlink r:id="rId14" w:history="1">
          <w:r w:rsidR="00AA1DBC">
            <w:rPr>
              <w:rStyle w:val="Hyperlink"/>
            </w:rPr>
            <w:t>OP 07-13 Leave Accounting</w:t>
          </w:r>
        </w:hyperlink>
      </w:hyperlink>
      <w:r w:rsidR="00AA1DBC">
        <w:t xml:space="preserve"> </w:t>
      </w:r>
    </w:p>
    <w:p w:rsidR="00AA1DBC" w:rsidRDefault="00AA1DBC" w:rsidP="00AA1DBC">
      <w:pPr>
        <w:pStyle w:val="FlushLeft"/>
        <w:jc w:val="left"/>
      </w:pPr>
    </w:p>
    <w:p w:rsidR="00AA1DBC" w:rsidRDefault="00AA1DBC" w:rsidP="00AA1DBC">
      <w:pPr>
        <w:pStyle w:val="FlushLeft"/>
        <w:jc w:val="left"/>
      </w:pPr>
      <w:r>
        <w:br/>
      </w:r>
    </w:p>
    <w:sectPr w:rsidR="00AA1DBC" w:rsidSect="006570C9">
      <w:headerReference w:type="default" r:id="rId15"/>
      <w:pgSz w:w="12240" w:h="15840" w:code="1"/>
      <w:pgMar w:top="1584" w:right="1152" w:bottom="1584" w:left="1152"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B0A" w:rsidRDefault="009E0B0A" w:rsidP="008673F1">
      <w:pPr>
        <w:spacing w:line="240" w:lineRule="auto"/>
      </w:pPr>
      <w:r>
        <w:separator/>
      </w:r>
    </w:p>
  </w:endnote>
  <w:endnote w:type="continuationSeparator" w:id="0">
    <w:p w:rsidR="009E0B0A" w:rsidRDefault="009E0B0A" w:rsidP="00867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B0A" w:rsidRDefault="009E0B0A" w:rsidP="008673F1">
      <w:pPr>
        <w:spacing w:line="240" w:lineRule="auto"/>
      </w:pPr>
      <w:r>
        <w:separator/>
      </w:r>
    </w:p>
  </w:footnote>
  <w:footnote w:type="continuationSeparator" w:id="0">
    <w:p w:rsidR="009E0B0A" w:rsidRDefault="009E0B0A" w:rsidP="008673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9E2" w:rsidRDefault="00B954A8">
    <w:pPr>
      <w:pStyle w:val="Header"/>
      <w:tabs>
        <w:tab w:val="clear" w:pos="4320"/>
        <w:tab w:val="clear" w:pos="8640"/>
        <w:tab w:val="left" w:pos="432"/>
        <w:tab w:val="right" w:pos="9907"/>
      </w:tabs>
    </w:pPr>
    <w:r>
      <w:tab/>
      <w:t>Texas Education Agency</w:t>
    </w:r>
    <w:r>
      <w:tab/>
      <w:t>OP 07-43</w:t>
    </w:r>
  </w:p>
  <w:p w:rsidR="00D459E2" w:rsidRDefault="00B954A8" w:rsidP="00D05479">
    <w:pPr>
      <w:pStyle w:val="Header"/>
      <w:tabs>
        <w:tab w:val="clear" w:pos="4320"/>
        <w:tab w:val="clear" w:pos="8640"/>
        <w:tab w:val="left" w:pos="432"/>
        <w:tab w:val="right" w:pos="9907"/>
      </w:tabs>
    </w:pPr>
    <w:r>
      <w:tab/>
      <w:t>Operating Procedures</w:t>
    </w:r>
    <w:r>
      <w:tab/>
      <w:t xml:space="preserve">Page </w:t>
    </w:r>
    <w:r w:rsidR="00DE4462">
      <w:rPr>
        <w:rStyle w:val="PageNumber"/>
      </w:rPr>
      <w:fldChar w:fldCharType="begin"/>
    </w:r>
    <w:r>
      <w:rPr>
        <w:rStyle w:val="PageNumber"/>
      </w:rPr>
      <w:instrText xml:space="preserve"> PAGE </w:instrText>
    </w:r>
    <w:r w:rsidR="00DE4462">
      <w:rPr>
        <w:rStyle w:val="PageNumber"/>
      </w:rPr>
      <w:fldChar w:fldCharType="separate"/>
    </w:r>
    <w:r w:rsidR="00414661">
      <w:rPr>
        <w:rStyle w:val="PageNumber"/>
        <w:noProof/>
      </w:rPr>
      <w:t>4</w:t>
    </w:r>
    <w:r w:rsidR="00DE4462">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luNv2LrMOHJ/wdxV+NsWP58TzL7z3olfjOeo2tgjVrJxp9gVlGAkrj3DwyfHrW3rWh8GqCSWHQkCp8G6ABdiWQ==" w:salt="ntO4dnZmyctgEwyR+08m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9AE"/>
    <w:rsid w:val="00010B79"/>
    <w:rsid w:val="00033BA9"/>
    <w:rsid w:val="00060E1B"/>
    <w:rsid w:val="0007274D"/>
    <w:rsid w:val="00086C25"/>
    <w:rsid w:val="00094462"/>
    <w:rsid w:val="000D643B"/>
    <w:rsid w:val="001037F7"/>
    <w:rsid w:val="00105253"/>
    <w:rsid w:val="0014026D"/>
    <w:rsid w:val="001802F0"/>
    <w:rsid w:val="001B46C9"/>
    <w:rsid w:val="001E1559"/>
    <w:rsid w:val="00207FD0"/>
    <w:rsid w:val="0023691E"/>
    <w:rsid w:val="00262E0D"/>
    <w:rsid w:val="002714FD"/>
    <w:rsid w:val="00275C72"/>
    <w:rsid w:val="002A3E5F"/>
    <w:rsid w:val="002B4337"/>
    <w:rsid w:val="002B4F97"/>
    <w:rsid w:val="002C79B2"/>
    <w:rsid w:val="002E5BD8"/>
    <w:rsid w:val="00303E2B"/>
    <w:rsid w:val="003071C7"/>
    <w:rsid w:val="00313FFA"/>
    <w:rsid w:val="00332671"/>
    <w:rsid w:val="00352068"/>
    <w:rsid w:val="00366AD6"/>
    <w:rsid w:val="003D237A"/>
    <w:rsid w:val="003F0BD2"/>
    <w:rsid w:val="00414661"/>
    <w:rsid w:val="00471391"/>
    <w:rsid w:val="00486D5D"/>
    <w:rsid w:val="004C1078"/>
    <w:rsid w:val="004C2517"/>
    <w:rsid w:val="004D268E"/>
    <w:rsid w:val="00520A65"/>
    <w:rsid w:val="00542870"/>
    <w:rsid w:val="00570F27"/>
    <w:rsid w:val="00573FD7"/>
    <w:rsid w:val="00586E72"/>
    <w:rsid w:val="005961C9"/>
    <w:rsid w:val="005A576A"/>
    <w:rsid w:val="005D233B"/>
    <w:rsid w:val="005F1A59"/>
    <w:rsid w:val="006C0914"/>
    <w:rsid w:val="006D514B"/>
    <w:rsid w:val="006D6E74"/>
    <w:rsid w:val="006F17EF"/>
    <w:rsid w:val="00733D76"/>
    <w:rsid w:val="007907BE"/>
    <w:rsid w:val="008637C1"/>
    <w:rsid w:val="008673F1"/>
    <w:rsid w:val="00873097"/>
    <w:rsid w:val="00873B99"/>
    <w:rsid w:val="00882605"/>
    <w:rsid w:val="00887FF5"/>
    <w:rsid w:val="008950C7"/>
    <w:rsid w:val="008B752C"/>
    <w:rsid w:val="008F4359"/>
    <w:rsid w:val="009145A9"/>
    <w:rsid w:val="00967132"/>
    <w:rsid w:val="00981813"/>
    <w:rsid w:val="00990F7F"/>
    <w:rsid w:val="009C2247"/>
    <w:rsid w:val="009E0A3C"/>
    <w:rsid w:val="009E0B0A"/>
    <w:rsid w:val="00A30432"/>
    <w:rsid w:val="00A41863"/>
    <w:rsid w:val="00AA1DBC"/>
    <w:rsid w:val="00AB0D78"/>
    <w:rsid w:val="00AC31BF"/>
    <w:rsid w:val="00AE1853"/>
    <w:rsid w:val="00B239CC"/>
    <w:rsid w:val="00B321FC"/>
    <w:rsid w:val="00B4547F"/>
    <w:rsid w:val="00B954A8"/>
    <w:rsid w:val="00B95E5A"/>
    <w:rsid w:val="00BE5B38"/>
    <w:rsid w:val="00BF3E71"/>
    <w:rsid w:val="00C26F09"/>
    <w:rsid w:val="00C32EE1"/>
    <w:rsid w:val="00C4472E"/>
    <w:rsid w:val="00C849EB"/>
    <w:rsid w:val="00CA337F"/>
    <w:rsid w:val="00CB140C"/>
    <w:rsid w:val="00CB6121"/>
    <w:rsid w:val="00CC6AE1"/>
    <w:rsid w:val="00D16AE0"/>
    <w:rsid w:val="00D33D38"/>
    <w:rsid w:val="00D439E5"/>
    <w:rsid w:val="00D44CE4"/>
    <w:rsid w:val="00D54D40"/>
    <w:rsid w:val="00DE4462"/>
    <w:rsid w:val="00E43A33"/>
    <w:rsid w:val="00EF052A"/>
    <w:rsid w:val="00F14BC1"/>
    <w:rsid w:val="00F20DE4"/>
    <w:rsid w:val="00F31787"/>
    <w:rsid w:val="00F31B0F"/>
    <w:rsid w:val="00F509AE"/>
    <w:rsid w:val="00F50EAE"/>
    <w:rsid w:val="00F7785A"/>
    <w:rsid w:val="00FB54E9"/>
    <w:rsid w:val="00FD0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19CB"/>
  <w15:docId w15:val="{238C991A-3BD0-4028-B830-AD943C47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9AE"/>
    <w:pPr>
      <w:spacing w:after="0" w:line="240" w:lineRule="atLeast"/>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 1"/>
    <w:basedOn w:val="Normal"/>
    <w:link w:val="Indent1Char"/>
    <w:rsid w:val="00F509AE"/>
    <w:pPr>
      <w:tabs>
        <w:tab w:val="left" w:pos="965"/>
      </w:tabs>
      <w:spacing w:after="240"/>
      <w:ind w:left="950" w:hanging="475"/>
      <w:jc w:val="both"/>
    </w:pPr>
  </w:style>
  <w:style w:type="paragraph" w:customStyle="1" w:styleId="Indent2">
    <w:name w:val="Indent 2"/>
    <w:basedOn w:val="Normal"/>
    <w:rsid w:val="00F509AE"/>
    <w:pPr>
      <w:tabs>
        <w:tab w:val="left" w:pos="1440"/>
      </w:tabs>
      <w:spacing w:after="240"/>
      <w:ind w:left="1440" w:hanging="475"/>
      <w:jc w:val="both"/>
    </w:pPr>
  </w:style>
  <w:style w:type="paragraph" w:customStyle="1" w:styleId="Indent3">
    <w:name w:val="Indent 3"/>
    <w:basedOn w:val="Normal"/>
    <w:rsid w:val="00F509AE"/>
    <w:pPr>
      <w:tabs>
        <w:tab w:val="left" w:pos="2045"/>
      </w:tabs>
      <w:spacing w:after="240"/>
      <w:ind w:left="2045" w:hanging="605"/>
      <w:jc w:val="both"/>
    </w:pPr>
  </w:style>
  <w:style w:type="paragraph" w:customStyle="1" w:styleId="FlushLeft">
    <w:name w:val="Flush Left"/>
    <w:rsid w:val="00F509AE"/>
    <w:pPr>
      <w:tabs>
        <w:tab w:val="left" w:pos="5832"/>
      </w:tabs>
      <w:spacing w:after="0" w:line="240" w:lineRule="atLeast"/>
      <w:ind w:left="475"/>
      <w:jc w:val="both"/>
    </w:pPr>
    <w:rPr>
      <w:rFonts w:ascii="Arial" w:eastAsia="Times New Roman" w:hAnsi="Arial" w:cs="Times New Roman"/>
      <w:sz w:val="20"/>
      <w:szCs w:val="20"/>
    </w:rPr>
  </w:style>
  <w:style w:type="character" w:styleId="Hyperlink">
    <w:name w:val="Hyperlink"/>
    <w:basedOn w:val="DefaultParagraphFont"/>
    <w:rsid w:val="00F509AE"/>
    <w:rPr>
      <w:color w:val="0000FF"/>
      <w:u w:val="single"/>
    </w:rPr>
  </w:style>
  <w:style w:type="paragraph" w:styleId="Header">
    <w:name w:val="header"/>
    <w:basedOn w:val="Normal"/>
    <w:link w:val="HeaderChar"/>
    <w:rsid w:val="00F509AE"/>
    <w:pPr>
      <w:tabs>
        <w:tab w:val="center" w:pos="4320"/>
        <w:tab w:val="right" w:pos="8640"/>
      </w:tabs>
    </w:pPr>
  </w:style>
  <w:style w:type="character" w:customStyle="1" w:styleId="HeaderChar">
    <w:name w:val="Header Char"/>
    <w:basedOn w:val="DefaultParagraphFont"/>
    <w:link w:val="Header"/>
    <w:rsid w:val="00F509AE"/>
    <w:rPr>
      <w:rFonts w:ascii="Arial" w:eastAsia="Times New Roman" w:hAnsi="Arial" w:cs="Times New Roman"/>
      <w:sz w:val="20"/>
      <w:szCs w:val="20"/>
    </w:rPr>
  </w:style>
  <w:style w:type="character" w:styleId="PageNumber">
    <w:name w:val="page number"/>
    <w:basedOn w:val="DefaultParagraphFont"/>
    <w:rsid w:val="00F509AE"/>
  </w:style>
  <w:style w:type="paragraph" w:styleId="Title">
    <w:name w:val="Title"/>
    <w:basedOn w:val="Normal"/>
    <w:link w:val="TitleChar"/>
    <w:qFormat/>
    <w:rsid w:val="00F509AE"/>
    <w:pPr>
      <w:jc w:val="center"/>
    </w:pPr>
    <w:rPr>
      <w:b/>
    </w:rPr>
  </w:style>
  <w:style w:type="character" w:customStyle="1" w:styleId="TitleChar">
    <w:name w:val="Title Char"/>
    <w:basedOn w:val="DefaultParagraphFont"/>
    <w:link w:val="Title"/>
    <w:rsid w:val="00F509AE"/>
    <w:rPr>
      <w:rFonts w:ascii="Arial" w:eastAsia="Times New Roman" w:hAnsi="Arial" w:cs="Times New Roman"/>
      <w:b/>
      <w:sz w:val="20"/>
      <w:szCs w:val="20"/>
    </w:rPr>
  </w:style>
  <w:style w:type="character" w:customStyle="1" w:styleId="Indent1Char">
    <w:name w:val="Indent 1 Char"/>
    <w:basedOn w:val="DefaultParagraphFont"/>
    <w:link w:val="Indent1"/>
    <w:rsid w:val="00F509AE"/>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F509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9A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802F0"/>
    <w:rPr>
      <w:sz w:val="16"/>
      <w:szCs w:val="16"/>
    </w:rPr>
  </w:style>
  <w:style w:type="paragraph" w:styleId="CommentText">
    <w:name w:val="annotation text"/>
    <w:basedOn w:val="Normal"/>
    <w:link w:val="CommentTextChar"/>
    <w:uiPriority w:val="99"/>
    <w:semiHidden/>
    <w:unhideWhenUsed/>
    <w:rsid w:val="001802F0"/>
    <w:pPr>
      <w:spacing w:line="240" w:lineRule="auto"/>
    </w:pPr>
  </w:style>
  <w:style w:type="character" w:customStyle="1" w:styleId="CommentTextChar">
    <w:name w:val="Comment Text Char"/>
    <w:basedOn w:val="DefaultParagraphFont"/>
    <w:link w:val="CommentText"/>
    <w:uiPriority w:val="99"/>
    <w:semiHidden/>
    <w:rsid w:val="001802F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802F0"/>
    <w:rPr>
      <w:b/>
      <w:bCs/>
    </w:rPr>
  </w:style>
  <w:style w:type="character" w:customStyle="1" w:styleId="CommentSubjectChar">
    <w:name w:val="Comment Subject Char"/>
    <w:basedOn w:val="CommentTextChar"/>
    <w:link w:val="CommentSubject"/>
    <w:uiPriority w:val="99"/>
    <w:semiHidden/>
    <w:rsid w:val="001802F0"/>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D439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370592">
      <w:bodyDiv w:val="1"/>
      <w:marLeft w:val="0"/>
      <w:marRight w:val="0"/>
      <w:marTop w:val="0"/>
      <w:marBottom w:val="0"/>
      <w:divBdr>
        <w:top w:val="none" w:sz="0" w:space="0" w:color="auto"/>
        <w:left w:val="none" w:sz="0" w:space="0" w:color="auto"/>
        <w:bottom w:val="none" w:sz="0" w:space="0" w:color="auto"/>
        <w:right w:val="none" w:sz="0" w:space="0" w:color="auto"/>
      </w:divBdr>
    </w:div>
    <w:div w:id="806552539">
      <w:bodyDiv w:val="1"/>
      <w:marLeft w:val="0"/>
      <w:marRight w:val="0"/>
      <w:marTop w:val="0"/>
      <w:marBottom w:val="0"/>
      <w:divBdr>
        <w:top w:val="none" w:sz="0" w:space="0" w:color="auto"/>
        <w:left w:val="none" w:sz="0" w:space="0" w:color="auto"/>
        <w:bottom w:val="none" w:sz="0" w:space="0" w:color="auto"/>
        <w:right w:val="none" w:sz="0" w:space="0" w:color="auto"/>
      </w:divBdr>
    </w:div>
    <w:div w:id="1474178802">
      <w:bodyDiv w:val="1"/>
      <w:marLeft w:val="0"/>
      <w:marRight w:val="0"/>
      <w:marTop w:val="0"/>
      <w:marBottom w:val="0"/>
      <w:divBdr>
        <w:top w:val="none" w:sz="0" w:space="0" w:color="auto"/>
        <w:left w:val="none" w:sz="0" w:space="0" w:color="auto"/>
        <w:bottom w:val="none" w:sz="0" w:space="0" w:color="auto"/>
        <w:right w:val="none" w:sz="0" w:space="0" w:color="auto"/>
      </w:divBdr>
    </w:div>
    <w:div w:id="1774857820">
      <w:bodyDiv w:val="1"/>
      <w:marLeft w:val="0"/>
      <w:marRight w:val="0"/>
      <w:marTop w:val="0"/>
      <w:marBottom w:val="0"/>
      <w:divBdr>
        <w:top w:val="none" w:sz="0" w:space="0" w:color="auto"/>
        <w:left w:val="none" w:sz="0" w:space="0" w:color="auto"/>
        <w:bottom w:val="none" w:sz="0" w:space="0" w:color="auto"/>
        <w:right w:val="none" w:sz="0" w:space="0" w:color="auto"/>
      </w:divBdr>
    </w:div>
    <w:div w:id="1900243647">
      <w:bodyDiv w:val="1"/>
      <w:marLeft w:val="0"/>
      <w:marRight w:val="0"/>
      <w:marTop w:val="0"/>
      <w:marBottom w:val="0"/>
      <w:divBdr>
        <w:top w:val="none" w:sz="0" w:space="0" w:color="auto"/>
        <w:left w:val="none" w:sz="0" w:space="0" w:color="auto"/>
        <w:bottom w:val="none" w:sz="0" w:space="0" w:color="auto"/>
        <w:right w:val="none" w:sz="0" w:space="0" w:color="auto"/>
      </w:divBdr>
    </w:div>
    <w:div w:id="191203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T:\Agency%20Forms\HS=Release%20of%20Liability.pdf" TargetMode="External"/><Relationship Id="rId13" Type="http://schemas.openxmlformats.org/officeDocument/2006/relationships/hyperlink" Target="file:///\\TEAFS2\ACOFM\Shared\Private\Organizational%20Effectiveness\Aaron's%20OD%20Documents\DAC%20DOCUMENTS\MS%20Word%202003%20Versions%20(Retired%20November%202009)\OP%2007-13.doc" TargetMode="External"/><Relationship Id="rId3" Type="http://schemas.openxmlformats.org/officeDocument/2006/relationships/settings" Target="settings.xml"/><Relationship Id="rId7" Type="http://schemas.openxmlformats.org/officeDocument/2006/relationships/hyperlink" Target="file:///T:\Agency%20Forms\HS=Physical%20Fitness%20Readiness%20Questionnaire.pdf" TargetMode="External"/><Relationship Id="rId12" Type="http://schemas.openxmlformats.org/officeDocument/2006/relationships/hyperlink" Target="file:///T:\Agency%20Operating%20Procedures\OP%2007-44.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T:\Agency%20Forms\HS=Release%20of%20Liability.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T:\Agency%20Forms\HS=Physical%20Fitness%20Readiness%20Questionnaire.pdf" TargetMode="External"/><Relationship Id="rId4" Type="http://schemas.openxmlformats.org/officeDocument/2006/relationships/webSettings" Target="webSettings.xml"/><Relationship Id="rId9" Type="http://schemas.openxmlformats.org/officeDocument/2006/relationships/hyperlink" Target="https://texasedu.sharepoint.com/sites/itea/cappshr/User%20Resources/CAPPS%20-%20Time%20Reporting%20Codes%20(TRCs).docx?d=w14e72c438a464733b3debe8e71658f83" TargetMode="External"/><Relationship Id="rId14" Type="http://schemas.openxmlformats.org/officeDocument/2006/relationships/hyperlink" Target="file:///T:\Agency%20Operating%20Procedures\OP%2007-1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E5B87-17DF-4066-90BF-6E17502C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1667</Words>
  <Characters>9507</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jallen</dc:creator>
  <cp:lastModifiedBy>Beasley, Lynn</cp:lastModifiedBy>
  <cp:revision>2</cp:revision>
  <cp:lastPrinted>2017-08-03T15:28:00Z</cp:lastPrinted>
  <dcterms:created xsi:type="dcterms:W3CDTF">2017-08-07T21:18:00Z</dcterms:created>
  <dcterms:modified xsi:type="dcterms:W3CDTF">2017-08-07T21:18:00Z</dcterms:modified>
</cp:coreProperties>
</file>